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38.png" ContentType="image/png"/>
  <Override PartName="/word/media/rId37.png" ContentType="image/png"/>
  <Override PartName="/word/media/rId28.png" ContentType="image/png"/>
  <Override PartName="/word/media/rId39.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rPr>
          <w:strike/>
        </w:rPr>
        <w:t xml:space="preserve">Effect of spring temperatures on tree growth phenology in two temperate deciduous forests</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r>
        <w:t xml:space="preserve">,</w:t>
      </w:r>
      <w:r>
        <w:t xml:space="preserve"> </w:t>
      </w:r>
      <w:r>
        <w:t xml:space="preserve">Loïc D’Orangeville,</w:t>
      </w:r>
      <w:r>
        <w:t xml:space="preserve"> </w:t>
      </w:r>
      <w:r>
        <w:t xml:space="preserve">Erika B. Gonzalez-Akre</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r>
        <w:t xml:space="preserve">Valentine Herrmann</w:t>
      </w:r>
      <w:r>
        <w:rPr>
          <w:vertAlign w:val="superscript"/>
        </w:rPr>
        <w:t xml:space="preserve">1</w:t>
      </w:r>
      <w:r>
        <w:t xml:space="preserve">,</w:t>
      </w:r>
      <w:r>
        <w:t xml:space="preserve"> </w:t>
      </w:r>
      <w:r>
        <w:t xml:space="preserve">Ian McGregor</w:t>
      </w:r>
      <w:r>
        <w:rPr>
          <w:vertAlign w:val="superscript"/>
        </w:rPr>
        <w:t xml:space="preserve">1</w:t>
      </w:r>
      <w:r>
        <w:t xml:space="preserve">,</w:t>
      </w:r>
      <w:r>
        <w:t xml:space="preserve"> </w:t>
      </w:r>
      <w:r>
        <w:t xml:space="preserve">Sean McMahon,</w:t>
      </w:r>
      <w:r>
        <w:t xml:space="preserve"> </w:t>
      </w:r>
      <w:r>
        <w:t xml:space="preserve">Albert Kim</w:t>
      </w:r>
      <w:r>
        <w:rPr>
          <w:vertAlign w:val="superscript"/>
        </w:rPr>
        <w:t xml:space="preserve">1</w:t>
      </w:r>
      <w:r>
        <w:t xml:space="preserve">,</w:t>
      </w:r>
      <w:r>
        <w:t xml:space="preserve"> </w:t>
      </w:r>
      <w:r>
        <w:t xml:space="preserve">David A. Orwig,</w:t>
      </w:r>
      <w:r>
        <w:t xml:space="preserve"> </w:t>
      </w: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3"/>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3"/>
      </w:pPr>
      <w:r>
        <w:t xml:space="preserve">Introduction</w:t>
      </w:r>
    </w:p>
    <w:bookmarkStart w:id="23" w:name="X660eb9b5071899a1078d478a7b98063919019bb"/>
    <w:p>
      <w:pPr>
        <w:pStyle w:val="Heading4"/>
      </w:pPr>
      <w:r>
        <w:t xml:space="preserve">(1. 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4"/>
      </w:pPr>
      <w:r>
        <w:t xml:space="preserve">(2. 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4"/>
      </w:pPr>
      <w:r>
        <w:t xml:space="preserve">(3. 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4"/>
      </w:pPr>
      <w:r>
        <w:t xml:space="preserve">(4. We also know little about differences across species or functional groups, which matters because it will affect how different species fare under climate change )</w:t>
      </w:r>
    </w:p>
    <w:p>
      <w:pPr>
        <w:pStyle w:val="FirstParagraph"/>
      </w:pPr>
      <w:r>
        <w:rPr>
          <w:strike/>
        </w:rPr>
        <w:t xml:space="preserve">A recent publication by D’Orangeville et al () found that</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YY</w:t>
      </w:r>
      <w:r>
        <w:t xml:space="preserve">). For example,</w:t>
      </w:r>
      <w:r>
        <w:t xml:space="preserve"> </w:t>
      </w:r>
      <w:r>
        <w:rPr>
          <w:strike/>
        </w:rPr>
        <w:t xml:space="preserve">they observed that</w:t>
      </w:r>
      <w:r>
        <w:t xml:space="preserve"> </w:t>
      </w:r>
      <w:r>
        <w:t xml:space="preserve">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4"/>
      </w:pPr>
      <w:r>
        <w:t xml:space="preserve">(5. Here, we…)</w:t>
      </w:r>
    </w:p>
    <w:p>
      <w:pPr>
        <w:pStyle w:val="FirstParagraph"/>
      </w:pPr>
      <w:r>
        <w:t xml:space="preserve">Here, we characterize how early spring temperatures affect stem growth phenology and rates of temperate deciduous trees within</w:t>
      </w:r>
      <w:r>
        <w:t xml:space="preserve"> </w:t>
      </w:r>
      <w:r>
        <w:rPr>
          <w:b/>
        </w:rPr>
        <w:t xml:space="preserve">two/three</w:t>
      </w:r>
      <w:r>
        <w:t xml:space="preserve"> </w:t>
      </w:r>
      <w:r>
        <w:t xml:space="preserve">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430114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430114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173111"/>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173111"/>
                    </a:xfrm>
                    <a:prstGeom prst="rect">
                      <a:avLst/>
                    </a:prstGeom>
                    <a:noFill/>
                    <a:ln w="9525">
                      <a:noFill/>
                      <a:headEnd/>
                      <a:tailEnd/>
                    </a:ln>
                  </pic:spPr>
                </pic:pic>
              </a:graphicData>
            </a:graphic>
          </wp:inline>
        </w:drawing>
      </w:r>
    </w:p>
    <w:bookmarkEnd w:id="29"/>
    <w:bookmarkEnd w:id="30"/>
    <w:bookmarkStart w:id="36" w:name="materials-and-methods"/>
    <w:p>
      <w:pPr>
        <w:pStyle w:val="Heading3"/>
      </w:pPr>
      <w:r>
        <w:t xml:space="preserve">Materials and Methods</w:t>
      </w:r>
    </w:p>
    <w:bookmarkStart w:id="32" w:name="study-sites-and-data"/>
    <w:p>
      <w:pPr>
        <w:pStyle w:val="Heading4"/>
      </w:pPr>
      <w:r>
        <w:t xml:space="preserve">Study sites and data</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p>
      <w:pPr>
        <w:pStyle w:val="BodyText"/>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1">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bookmarkEnd w:id="32"/>
    <w:bookmarkStart w:id="33" w:name="fitting-growth-curves"/>
    <w:p>
      <w:pPr>
        <w:pStyle w:val="Heading4"/>
      </w:pPr>
      <w:r>
        <w:t xml:space="preserve">Fitting growth curves</w:t>
      </w:r>
    </w:p>
    <w:p>
      <w:pPr>
        <w:pStyle w:val="FirstParagraph"/>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p>
    <w:bookmarkEnd w:id="33"/>
    <w:bookmarkStart w:id="34" w:name="determining-optimal-climate-windows"/>
    <w:p>
      <w:pPr>
        <w:pStyle w:val="Heading4"/>
      </w:pPr>
      <w:r>
        <w:t xml:space="preserve">Determining optimal climate windows</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4"/>
    <w:bookmarkStart w:id="35" w:name="hypothesis-testing"/>
    <w:p>
      <w:pPr>
        <w:pStyle w:val="Heading4"/>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5"/>
    <w:bookmarkEnd w:id="36"/>
    <w:bookmarkStart w:id="40" w:name="results"/>
    <w:p>
      <w:pPr>
        <w:pStyle w:val="Heading3"/>
      </w:pPr>
      <w:r>
        <w:t xml:space="preserve">Results</w:t>
      </w:r>
    </w:p>
    <w:p>
      <w:pPr>
        <w:pStyle w:val="FirstParagraph"/>
      </w:pPr>
      <w:r>
        <w:rPr>
          <w:i/>
        </w:rPr>
        <w:t xml:space="preserve">Phenological patterns</w:t>
      </w:r>
    </w:p>
    <w:p>
      <w:pPr>
        <w:pStyle w:val="BodyText"/>
      </w:pPr>
      <w:r>
        <w:rPr>
          <w:i/>
        </w:rPr>
        <w:t xml:space="preserve">(Numbers in bold will change. If we bring in HF and/or SERC, we should create a table, rather than trying to list everything in the text.)</w:t>
      </w:r>
    </w:p>
    <w:p>
      <w:pPr>
        <w:pStyle w:val="BodyText"/>
      </w:pPr>
      <w:r>
        <w:t xml:space="preserve">Across all trees and years, 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 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 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 for an average peak growing season length of</w:t>
      </w:r>
      <w:r>
        <w:t xml:space="preserve"> </w:t>
      </w:r>
      <w:r>
        <w:rPr>
          <w:b/>
        </w:rPr>
        <w:t xml:space="preserve">56</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p>
    <w:p>
      <w:pPr>
        <w:pStyle w:val="BodyText"/>
      </w:pPr>
      <w:r>
        <w:t xml:space="preserve">Growth pheonology differed between ring- and diffuse- porous species, with ring-porous species having an earlier start to growth, with growth spread out over a longer growing season (Fig. 2).</w:t>
      </w:r>
      <w:r>
        <w:t xml:space="preserve"> </w:t>
      </w:r>
      <w:r>
        <w:t xml:space="preserve">For ring-porous trees, on average, 25% of annual growth was achieved on</w:t>
      </w:r>
      <w:r>
        <w:t xml:space="preserve"> </w:t>
      </w:r>
      <w:r>
        <w:rPr>
          <w:b/>
        </w:rPr>
        <w:t xml:space="preserve">April 23</w:t>
      </w:r>
      <w:r>
        <w:t xml:space="preserve"> </w:t>
      </w:r>
      <w:r>
        <w:t xml:space="preserve">(</w:t>
      </w:r>
      <m:oMath>
        <m:r>
          <m:t>D</m:t>
        </m:r>
        <m:r>
          <m:t>O</m:t>
        </m:r>
        <m:sSub>
          <m:e>
            <m:r>
              <m:t>Y</m:t>
            </m:r>
          </m:e>
          <m:sub>
            <m:r>
              <m:t>25</m:t>
            </m:r>
          </m:sub>
        </m:sSub>
      </m:oMath>
      <w:r>
        <w:t xml:space="preserve">=</w:t>
      </w:r>
      <w:r>
        <w:rPr>
          <w:b/>
        </w:rPr>
        <w:t xml:space="preserve">113</w:t>
      </w:r>
      <w:r>
        <w:t xml:space="preserve">), 50% on</w:t>
      </w:r>
      <w:r>
        <w:t xml:space="preserve"> </w:t>
      </w:r>
      <w:r>
        <w:rPr>
          <w:b/>
        </w:rPr>
        <w:t xml:space="preserve">May 27</w:t>
      </w:r>
      <w:r>
        <w:t xml:space="preserve"> </w:t>
      </w:r>
      <w:r>
        <w:t xml:space="preserve">(</w:t>
      </w:r>
      <m:oMath>
        <m:r>
          <m:t>D</m:t>
        </m:r>
        <m:r>
          <m:t>O</m:t>
        </m:r>
        <m:sSub>
          <m:e>
            <m:r>
              <m:t>Y</m:t>
            </m:r>
          </m:e>
          <m:sub>
            <m:r>
              <m:t>50</m:t>
            </m:r>
          </m:sub>
        </m:sSub>
      </m:oMath>
      <w:r>
        <w:t xml:space="preserve">=</w:t>
      </w:r>
      <w:r>
        <w:rPr>
          <w:b/>
        </w:rPr>
        <w:t xml:space="preserve">147</w:t>
      </w:r>
      <w:r>
        <w:t xml:space="preserve">),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181</w:t>
      </w:r>
      <w:r>
        <w:t xml:space="preserve">), for an average peak growing season length of</w:t>
      </w:r>
      <w:r>
        <w:t xml:space="preserve"> </w:t>
      </w:r>
      <w:r>
        <w:rPr>
          <w:b/>
        </w:rPr>
        <w:t xml:space="preserve">68</w:t>
      </w:r>
      <w:r>
        <w:t xml:space="preserve"> </w:t>
      </w:r>
      <w:r>
        <w:t xml:space="preserve">days.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and averaged .048</w:t>
      </w:r>
      <w:r>
        <w:t xml:space="preserve"> </w:t>
      </w:r>
      <w:r>
        <w:rPr>
          <w:b/>
        </w:rPr>
        <w:t xml:space="preserve">mm day</w:t>
      </w:r>
      <w:r>
        <w:rPr>
          <w:vertAlign w:val="superscript"/>
          <w:b/>
        </w:rPr>
        <w:t xml:space="preserve">-1</w:t>
      </w:r>
      <w:r>
        <w:rPr>
          <w:b/>
        </w:rPr>
        <w:t xml:space="preserve"> </w:t>
      </w:r>
      <w:r>
        <w:rPr>
          <w:b/>
        </w:rPr>
        <w:t xml:space="preserve">(?)</w:t>
      </w:r>
      <w:r>
        <w:t xml:space="preserve">.</w:t>
      </w:r>
      <w:r>
        <w:t xml:space="preserve"> </w:t>
      </w:r>
      <w:r>
        <w:t xml:space="preserve">For diffuse-porous trees, on average, 25% of annual growth was achieved on</w:t>
      </w:r>
      <w:r>
        <w:t xml:space="preserve"> </w:t>
      </w:r>
      <w:r>
        <w:rPr>
          <w:b/>
        </w:rPr>
        <w:t xml:space="preserve">June 2</w:t>
      </w:r>
      <w:r>
        <w:t xml:space="preserve"> </w:t>
      </w:r>
      <w:r>
        <w:t xml:space="preserve">(</w:t>
      </w:r>
      <m:oMath>
        <m:r>
          <m:t>D</m:t>
        </m:r>
        <m:r>
          <m:t>O</m:t>
        </m:r>
        <m:sSub>
          <m:e>
            <m:r>
              <m:t>Y</m:t>
            </m:r>
          </m:e>
          <m:sub>
            <m:r>
              <m:t>25</m:t>
            </m:r>
          </m:sub>
        </m:sSub>
      </m:oMath>
      <w:r>
        <w:t xml:space="preserve">=</w:t>
      </w:r>
      <w:r>
        <w:rPr>
          <w:b/>
        </w:rPr>
        <w:t xml:space="preserve">153</w:t>
      </w:r>
      <w:r>
        <w:t xml:space="preserve">), 50% on</w:t>
      </w:r>
      <w:r>
        <w:t xml:space="preserve"> </w:t>
      </w:r>
      <w:r>
        <w:rPr>
          <w:b/>
        </w:rPr>
        <w:t xml:space="preserve">June 20</w:t>
      </w:r>
      <w:r>
        <w:t xml:space="preserve"> </w:t>
      </w:r>
      <w:r>
        <w:t xml:space="preserve">(</w:t>
      </w:r>
      <m:oMath>
        <m:r>
          <m:t>D</m:t>
        </m:r>
        <m:r>
          <m:t>O</m:t>
        </m:r>
        <m:sSub>
          <m:e>
            <m:r>
              <m:t>Y</m:t>
            </m:r>
          </m:e>
          <m:sub>
            <m:r>
              <m:t>50</m:t>
            </m:r>
          </m:sub>
        </m:sSub>
      </m:oMath>
      <w:r>
        <w:t xml:space="preserve">=</w:t>
      </w:r>
      <w:r>
        <w:rPr>
          <w:b/>
        </w:rPr>
        <w:t xml:space="preserve">171</w:t>
      </w:r>
      <w:r>
        <w:t xml:space="preserve">), and 75% on</w:t>
      </w:r>
      <w:r>
        <w:t xml:space="preserve"> </w:t>
      </w:r>
      <w:r>
        <w:rPr>
          <w:b/>
        </w:rPr>
        <w:t xml:space="preserve">July 9</w:t>
      </w:r>
      <w:r>
        <w:t xml:space="preserve"> </w:t>
      </w:r>
      <w:r>
        <w:t xml:space="preserve">(</w:t>
      </w:r>
      <m:oMath>
        <m:r>
          <m:t>D</m:t>
        </m:r>
        <m:r>
          <m:t>O</m:t>
        </m:r>
        <m:sSub>
          <m:e>
            <m:r>
              <m:t>Y</m:t>
            </m:r>
          </m:e>
          <m:sub>
            <m:r>
              <m:t>75</m:t>
            </m:r>
          </m:sub>
        </m:sSub>
      </m:oMath>
      <w:r>
        <w:t xml:space="preserve">=</w:t>
      </w:r>
      <w:r>
        <w:rPr>
          <w:b/>
        </w:rPr>
        <w:t xml:space="preserve">190</w:t>
      </w:r>
      <w:r>
        <w:t xml:space="preserve">), for an average peak growing season length of</w:t>
      </w:r>
      <w:r>
        <w:t xml:space="preserve"> </w:t>
      </w:r>
      <w:r>
        <w:rPr>
          <w:b/>
        </w:rPr>
        <w:t xml:space="preserve">37</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21</w:t>
      </w:r>
      <w:r>
        <w:t xml:space="preserve"> </w:t>
      </w:r>
      <w:r>
        <w:t xml:space="preserve">(</w:t>
      </w:r>
      <m:oMath>
        <m:r>
          <m:t>D</m:t>
        </m:r>
        <m:r>
          <m:t>O</m:t>
        </m:r>
        <m:sSub>
          <m:e>
            <m:r>
              <m:t>Y</m:t>
            </m:r>
          </m:e>
          <m:sub>
            <m:r>
              <m:t>m</m:t>
            </m:r>
            <m:r>
              <m:t>a</m:t>
            </m:r>
            <m:r>
              <m:t>x</m:t>
            </m:r>
          </m:sub>
        </m:sSub>
      </m:oMath>
      <w:r>
        <w:t xml:space="preserve">=</w:t>
      </w:r>
      <w:r>
        <w:rPr>
          <w:b/>
        </w:rPr>
        <w:t xml:space="preserve">172</w:t>
      </w:r>
      <w:r>
        <w:t xml:space="preserve">) and averaged .068</w:t>
      </w:r>
      <w:r>
        <w:t xml:space="preserve"> </w:t>
      </w:r>
      <w:r>
        <w:rPr>
          <w:b/>
        </w:rPr>
        <w:t xml:space="preserve">mm day</w:t>
      </w:r>
      <w:r>
        <w:rPr>
          <w:vertAlign w:val="superscript"/>
          <w:b/>
        </w:rPr>
        <w:t xml:space="preserve">-1</w:t>
      </w:r>
      <w:r>
        <w:rPr>
          <w:b/>
        </w:rPr>
        <w:t xml:space="preserve"> </w:t>
      </w:r>
      <w:r>
        <w:rPr>
          <w:b/>
        </w:rPr>
        <w:t xml:space="preserve">(?)</w:t>
      </w:r>
      <w:r>
        <w:t xml:space="preserve">.</w:t>
      </w:r>
    </w:p>
    <w:p>
      <w:r>
        <w:br w:type="page"/>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tbl>
      <w:tblPr>
        <w:tblStyle w:val="Table"/>
        <w:tblW w:type="pct" w:w="4999.999999999999"/>
        <w:tblLook w:firstRow="1" w:lastRow="0" w:firstColumn="0" w:lastColumn="0" w:noHBand="0" w:noVBand="0"/>
      </w:tblPr>
      <w:tblGrid>
        <w:gridCol w:w="3217"/>
        <w:gridCol w:w="1237"/>
        <w:gridCol w:w="1072"/>
        <w:gridCol w:w="1072"/>
        <w:gridCol w:w="1320"/>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r>
      <w:tr>
        <w:tc>
          <w:p>
            <w:pPr>
              <w:pStyle w:val="Compact"/>
              <w:jc w:val="left"/>
            </w:pPr>
            <w:r>
              <w:t xml:space="preserve">DOY.25</w:t>
            </w:r>
          </w:p>
        </w:tc>
        <w:tc>
          <w:p>
            <w:pPr>
              <w:pStyle w:val="Compact"/>
              <w:jc w:val="left"/>
            </w:pPr>
            <w:r>
              <w:t xml:space="preserve">113 (April 23)</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DOY.50</w:t>
            </w:r>
          </w:p>
        </w:tc>
        <w:tc>
          <w:p>
            <w:pPr>
              <w:pStyle w:val="Compact"/>
              <w:jc w:val="left"/>
            </w:pPr>
            <w:r>
              <w:t xml:space="preserve">147 (May 27)</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DOY.75</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DOY.g.max</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g.max</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p>
      <w:pPr>
        <w:pStyle w:val="BodyText"/>
      </w:pPr>
      <w:r>
        <w:rPr>
          <w:i/>
        </w:rPr>
        <w:t xml:space="preserve">Optimal climate windows</w:t>
      </w:r>
    </w:p>
    <w:p>
      <w:pPr>
        <w:pStyle w:val="BodyText"/>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334000" cy="5754143"/>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38"/>
                    <a:stretch>
                      <a:fillRect/>
                    </a:stretch>
                  </pic:blipFill>
                  <pic:spPr bwMode="auto">
                    <a:xfrm>
                      <a:off x="0" y="0"/>
                      <a:ext cx="5334000" cy="5754143"/>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BodyText"/>
      </w:pPr>
      <w:r>
        <w:rPr>
          <w:i/>
        </w:rPr>
        <w:t xml:space="preserve">Climate sensitivity of phenology</w:t>
      </w:r>
    </w:p>
    <w:p>
      <w:pPr>
        <w:pStyle w:val="BodyText"/>
      </w:pPr>
      <w:r>
        <w:t xml:space="preserve">Warmer spring temperatures resulted in an earlier start of growth for ring-porous species and an earlier growing season for diffuse-porous species (Fig. 4).</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9"/>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bookmarkEnd w:id="40"/>
    <w:bookmarkStart w:id="42" w:name="discussion"/>
    <w:p>
      <w:pPr>
        <w:pStyle w:val="Heading3"/>
      </w:pPr>
      <w:r>
        <w:t xml:space="preserve">Discussion</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2"/>
    <w:bookmarkStart w:id="43" w:name="content-to-incorporate"/>
    <w:p>
      <w:pPr>
        <w:pStyle w:val="Heading3"/>
      </w:pP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3"/>
    <w:bookmarkStart w:id="44" w:name="acknowledgements"/>
    <w:p>
      <w:pPr>
        <w:pStyle w:val="Heading3"/>
      </w:pPr>
      <w:r>
        <w:t xml:space="preserve">Acknowledgements</w:t>
      </w:r>
    </w:p>
    <w:p>
      <w:pPr>
        <w:pStyle w:val="FirstParagraph"/>
      </w:pPr>
      <w:r>
        <w:t xml:space="preserve">ForestGEO</w:t>
      </w:r>
    </w:p>
    <w:bookmarkEnd w:id="44"/>
    <w:bookmarkStart w:id="45" w:name="author-contributions"/>
    <w:p>
      <w:pPr>
        <w:pStyle w:val="Heading3"/>
      </w:pPr>
      <w:r>
        <w:t xml:space="preserve">Author Contributions</w:t>
      </w:r>
    </w:p>
    <w:bookmarkEnd w:id="45"/>
    <w:bookmarkStart w:id="46" w:name="supporting-information"/>
    <w:p>
      <w:pPr>
        <w:pStyle w:val="Heading3"/>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46"/>
    <w:bookmarkStart w:id="58" w:name="references"/>
    <w:p>
      <w:pPr>
        <w:pStyle w:val="Heading3"/>
      </w:pPr>
      <w:r>
        <w:t xml:space="preserve">References</w:t>
      </w:r>
    </w:p>
    <w:bookmarkStart w:id="57" w:name="refs"/>
    <w:bookmarkStart w:id="48"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47">
        <w:r>
          <w:rPr>
            <w:rStyle w:val="Hyperlink"/>
          </w:rPr>
          <w:t xml:space="preserve">https://doi.org/10.1111/j.1365-2486.2005.001012.x</w:t>
        </w:r>
      </w:hyperlink>
    </w:p>
    <w:bookmarkEnd w:id="48"/>
    <w:bookmarkStart w:id="50"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49">
        <w:r>
          <w:rPr>
            <w:rStyle w:val="Hyperlink"/>
          </w:rPr>
          <w:t xml:space="preserve">https://doi.org/10.1111/gcb.14731</w:t>
        </w:r>
      </w:hyperlink>
    </w:p>
    <w:bookmarkEnd w:id="50"/>
    <w:bookmarkStart w:id="52"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51">
        <w:r>
          <w:rPr>
            <w:rStyle w:val="Hyperlink"/>
          </w:rPr>
          <w:t xml:space="preserve">https://doi.org/10.1038/nclimate2253</w:t>
        </w:r>
      </w:hyperlink>
    </w:p>
    <w:bookmarkEnd w:id="52"/>
    <w:bookmarkStart w:id="54"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53">
        <w:r>
          <w:rPr>
            <w:rStyle w:val="Hyperlink"/>
          </w:rPr>
          <w:t xml:space="preserve">https://doi.org/10.1002/ece3.1117</w:t>
        </w:r>
      </w:hyperlink>
    </w:p>
    <w:bookmarkEnd w:id="54"/>
    <w:bookmarkStart w:id="56"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55">
        <w:r>
          <w:rPr>
            <w:rStyle w:val="Hyperlink"/>
          </w:rPr>
          <w:t xml:space="preserve">https://doi.org/10.1016/j.agrformet.2016.06.010</w:t>
        </w:r>
      </w:hyperlink>
    </w:p>
    <w:bookmarkEnd w:id="56"/>
    <w:bookmarkEnd w:id="57"/>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3" Target="https://doi.org/10.1002/ece3.1117" TargetMode="External" /><Relationship Type="http://schemas.openxmlformats.org/officeDocument/2006/relationships/hyperlink" Id="rId55" Target="https://doi.org/10.1016/j.agrformet.2016.06.010" TargetMode="External" /><Relationship Type="http://schemas.openxmlformats.org/officeDocument/2006/relationships/hyperlink" Id="rId51" Target="https://doi.org/10.1038/nclimate2253" TargetMode="External" /><Relationship Type="http://schemas.openxmlformats.org/officeDocument/2006/relationships/hyperlink" Id="rId49" Target="https://doi.org/10.1111/gcb.14731" TargetMode="External" /><Relationship Type="http://schemas.openxmlformats.org/officeDocument/2006/relationships/hyperlink" Id="rId47"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3" Target="https://doi.org/10.1002/ece3.1117" TargetMode="External" /><Relationship Type="http://schemas.openxmlformats.org/officeDocument/2006/relationships/hyperlink" Id="rId55" Target="https://doi.org/10.1016/j.agrformet.2016.06.010" TargetMode="External" /><Relationship Type="http://schemas.openxmlformats.org/officeDocument/2006/relationships/hyperlink" Id="rId51" Target="https://doi.org/10.1038/nclimate2253" TargetMode="External" /><Relationship Type="http://schemas.openxmlformats.org/officeDocument/2006/relationships/hyperlink" Id="rId49" Target="https://doi.org/10.1111/gcb.14731" TargetMode="External" /><Relationship Type="http://schemas.openxmlformats.org/officeDocument/2006/relationships/hyperlink" Id="rId47"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2020-11-12T23:04:05Z</dcterms:created>
  <dcterms:modified xsi:type="dcterms:W3CDTF">2020-11-12T23:04:05Z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